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089FF" w14:textId="43F951E8" w:rsidR="007C2628" w:rsidRDefault="007C2628" w:rsidP="007C2628">
      <w:pPr>
        <w:pStyle w:val="DEMHeading1"/>
      </w:pPr>
      <w:r w:rsidRPr="007C2628">
        <w:t>Exploration to mining engagement</w:t>
      </w:r>
    </w:p>
    <w:p w14:paraId="263590D7" w14:textId="0EDC4247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Early stakeholder engagement encouraged</w:t>
      </w:r>
    </w:p>
    <w:p w14:paraId="70026217" w14:textId="32E76068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Exploration licence granted</w:t>
      </w:r>
    </w:p>
    <w:p w14:paraId="267A1254" w14:textId="33D6D2B9" w:rsidR="007C2628" w:rsidRDefault="007C2628" w:rsidP="00CB1F34">
      <w:pPr>
        <w:pStyle w:val="DEMBodyCopy"/>
        <w:numPr>
          <w:ilvl w:val="0"/>
          <w:numId w:val="27"/>
        </w:numPr>
      </w:pPr>
      <w:r w:rsidRPr="007C2628">
        <w:t>Tenement holder contacts owner</w:t>
      </w:r>
    </w:p>
    <w:p w14:paraId="341DF1AA" w14:textId="1AE0B90F" w:rsidR="007C2628" w:rsidRPr="007C2628" w:rsidRDefault="007C2628" w:rsidP="00CB1F34">
      <w:pPr>
        <w:pStyle w:val="DEMBodyCopy"/>
      </w:pPr>
      <w:r w:rsidRPr="007C2628">
        <w:t>The tenement holder must wait 42 days before entering land</w:t>
      </w:r>
      <w:r>
        <w:t xml:space="preserve"> </w:t>
      </w:r>
      <w:r w:rsidRPr="007C2628">
        <w:t>unless an agreement specifies otherwise</w:t>
      </w:r>
    </w:p>
    <w:p w14:paraId="7BCCD5BB" w14:textId="6129778D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Stakeholders engaged as applicant prepares exploration PEPR (EPEPR)</w:t>
      </w:r>
    </w:p>
    <w:p w14:paraId="7C305201" w14:textId="490F0B18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Tenement holder submits EPEPR for assessment</w:t>
      </w:r>
    </w:p>
    <w:p w14:paraId="64C6DFEE" w14:textId="3FB620A4" w:rsidR="007C2628" w:rsidRDefault="007C2628" w:rsidP="00CB1F34">
      <w:pPr>
        <w:pStyle w:val="DEMBodyCopy"/>
        <w:numPr>
          <w:ilvl w:val="0"/>
          <w:numId w:val="27"/>
        </w:numPr>
      </w:pPr>
      <w:r w:rsidRPr="007C2628">
        <w:t>Mineral discovery?</w:t>
      </w:r>
    </w:p>
    <w:p w14:paraId="33650BB1" w14:textId="1100D1E0" w:rsidR="00CB1F34" w:rsidRDefault="009D0549" w:rsidP="00CB1F34">
      <w:pPr>
        <w:pStyle w:val="DEMBodyCopy"/>
        <w:numPr>
          <w:ilvl w:val="0"/>
          <w:numId w:val="27"/>
        </w:numPr>
      </w:pPr>
      <w:r>
        <w:t xml:space="preserve">Optional </w:t>
      </w:r>
      <w:r w:rsidRPr="007C2628">
        <w:t>–</w:t>
      </w:r>
      <w:r>
        <w:t xml:space="preserve"> </w:t>
      </w:r>
      <w:r w:rsidR="00CB1F34" w:rsidRPr="00CB1F34">
        <w:t xml:space="preserve">Tenement </w:t>
      </w:r>
      <w:r w:rsidR="00CB1F34">
        <w:t>h</w:t>
      </w:r>
      <w:r w:rsidR="00CB1F34" w:rsidRPr="00CB1F34">
        <w:t xml:space="preserve">older undertakes preliminary impact assessment and prepares </w:t>
      </w:r>
      <w:r w:rsidR="00CB1F34">
        <w:t>s</w:t>
      </w:r>
      <w:r w:rsidR="00CB1F34" w:rsidRPr="00CB1F34">
        <w:t xml:space="preserve">coping </w:t>
      </w:r>
      <w:r w:rsidR="00CB1F34">
        <w:t>r</w:t>
      </w:r>
      <w:r w:rsidR="00CB1F34" w:rsidRPr="00CB1F34">
        <w:t>eport</w:t>
      </w:r>
    </w:p>
    <w:p w14:paraId="7DB295CC" w14:textId="77A0A8D3" w:rsidR="00CB1F34" w:rsidRDefault="00CB1F34" w:rsidP="00CB1F34">
      <w:pPr>
        <w:pStyle w:val="DEMBodyCopy"/>
        <w:numPr>
          <w:ilvl w:val="0"/>
          <w:numId w:val="27"/>
        </w:numPr>
      </w:pPr>
      <w:r w:rsidRPr="00CB1F34">
        <w:t>DEM assess scoping report</w:t>
      </w:r>
    </w:p>
    <w:p w14:paraId="76F81FDC" w14:textId="3796FFB8" w:rsidR="00CB1F34" w:rsidRPr="007C2628" w:rsidRDefault="00CB1F34" w:rsidP="00CB1F34">
      <w:pPr>
        <w:pStyle w:val="DEMBodyCopy"/>
        <w:numPr>
          <w:ilvl w:val="0"/>
          <w:numId w:val="27"/>
        </w:numPr>
      </w:pPr>
      <w:r>
        <w:t>DEM endorse scoping report as mining application terms of reference</w:t>
      </w:r>
    </w:p>
    <w:p w14:paraId="3C899922" w14:textId="20142402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Notice of intention to apply</w:t>
      </w:r>
    </w:p>
    <w:p w14:paraId="05C487DE" w14:textId="2DF80CE9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Tenement holder engages stakeholders on proposed outcomes</w:t>
      </w:r>
    </w:p>
    <w:p w14:paraId="5F9D134F" w14:textId="4C8F3BDB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Tenement holder drafts mining application</w:t>
      </w:r>
    </w:p>
    <w:p w14:paraId="27FA985D" w14:textId="21476F8D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Tenement holder lodges application with government</w:t>
      </w:r>
    </w:p>
    <w:p w14:paraId="53B3F962" w14:textId="38514817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DEM public consultation</w:t>
      </w:r>
    </w:p>
    <w:p w14:paraId="3A72F706" w14:textId="309DFF20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Tenement holder responds to public submissions</w:t>
      </w:r>
    </w:p>
    <w:p w14:paraId="677B7386" w14:textId="2A4B94F3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DEM assessment of application and public submissions</w:t>
      </w:r>
    </w:p>
    <w:p w14:paraId="060BCD6D" w14:textId="7D0B01A8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Tenement holder contacts landowner</w:t>
      </w:r>
    </w:p>
    <w:p w14:paraId="0DD477BD" w14:textId="63779138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Mining lease granted or refused, with conditions on environmental impacts</w:t>
      </w:r>
    </w:p>
    <w:p w14:paraId="2B02366C" w14:textId="755F48C5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Stakeholders engaged as tenement holder prepares PEPR</w:t>
      </w:r>
    </w:p>
    <w:p w14:paraId="0EEE9FE2" w14:textId="3B277FD1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DEM assesses PEPR</w:t>
      </w:r>
    </w:p>
    <w:p w14:paraId="737861FD" w14:textId="2543F555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Tenement holder completes obligations for approval</w:t>
      </w:r>
    </w:p>
    <w:p w14:paraId="6C540C49" w14:textId="04CF718E" w:rsidR="007C2628" w:rsidRPr="007C2628" w:rsidRDefault="007C2628" w:rsidP="00CB1F34">
      <w:pPr>
        <w:pStyle w:val="DEMBodyCopy"/>
        <w:numPr>
          <w:ilvl w:val="0"/>
          <w:numId w:val="27"/>
        </w:numPr>
      </w:pPr>
      <w:r w:rsidRPr="007C2628">
        <w:t>Approval to start operations</w:t>
      </w:r>
    </w:p>
    <w:p w14:paraId="57B640C7" w14:textId="69D2FDE3" w:rsidR="007C2628" w:rsidRPr="008F7924" w:rsidRDefault="007C2628" w:rsidP="00CB1F34">
      <w:pPr>
        <w:pStyle w:val="DEMBodyCopy"/>
      </w:pPr>
      <w:r w:rsidRPr="007C2628">
        <w:t xml:space="preserve">Ongoing obligations – </w:t>
      </w:r>
      <w:r w:rsidR="00CB1F34">
        <w:t>C</w:t>
      </w:r>
      <w:r w:rsidRPr="007C2628">
        <w:t>ontinued engagement and transparent monitoring and reporting of mining operations</w:t>
      </w:r>
    </w:p>
    <w:sectPr w:rsidR="007C2628" w:rsidRPr="008F7924" w:rsidSect="004D786D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40" w:bottom="851" w:left="1440" w:header="425" w:footer="4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891A2" w14:textId="77777777" w:rsidR="000A5826" w:rsidRDefault="000A5826" w:rsidP="005E1B4A">
      <w:pPr>
        <w:spacing w:after="0" w:line="240" w:lineRule="auto"/>
      </w:pPr>
      <w:r>
        <w:separator/>
      </w:r>
    </w:p>
  </w:endnote>
  <w:endnote w:type="continuationSeparator" w:id="0">
    <w:p w14:paraId="6B3976CA" w14:textId="77777777" w:rsidR="000A5826" w:rsidRDefault="000A5826" w:rsidP="005E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BCA0" w14:textId="746E1ECF" w:rsidR="004D49C3" w:rsidRPr="008C5996" w:rsidRDefault="004D49C3" w:rsidP="00CD457D">
    <w:pPr>
      <w:pStyle w:val="DEMFooterGreen"/>
    </w:pPr>
    <w:r w:rsidRPr="00FA1C9A">
      <w:rPr>
        <w:bCs w:val="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11BFF4" wp14:editId="16FDEAEE">
              <wp:simplePos x="0" y="0"/>
              <wp:positionH relativeFrom="margin">
                <wp:posOffset>6985</wp:posOffset>
              </wp:positionH>
              <wp:positionV relativeFrom="paragraph">
                <wp:posOffset>12700</wp:posOffset>
              </wp:positionV>
              <wp:extent cx="5724525" cy="0"/>
              <wp:effectExtent l="0" t="0" r="0" b="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826E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F44935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55pt,1pt" to="451.3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" strokecolor="#00826e">
              <w10:wrap anchorx="margin"/>
            </v:line>
          </w:pict>
        </mc:Fallback>
      </mc:AlternateContent>
    </w:r>
    <w:r w:rsidR="00FA1C9A" w:rsidRPr="00FA1C9A">
      <w:rPr>
        <w:bCs w:val="0"/>
      </w:rPr>
      <w:t>Exploration to mining engagement</w:t>
    </w:r>
    <w:r w:rsidR="00157498" w:rsidRPr="008C5996">
      <w:t xml:space="preserve"> | </w:t>
    </w:r>
    <w:r w:rsidR="00FA1C9A">
      <w:t>November 2025</w:t>
    </w:r>
    <w:r w:rsidR="00B162BB">
      <w:tab/>
    </w:r>
    <w:r w:rsidR="007A248D">
      <w:rPr>
        <w:b/>
        <w:sz w:val="20"/>
        <w:szCs w:val="20"/>
      </w:rPr>
      <w:tab/>
    </w:r>
    <w:r w:rsidR="00D8084D" w:rsidRPr="00346681">
      <w:t>Page</w:t>
    </w:r>
    <w:r w:rsidR="00D8084D" w:rsidRPr="00346681">
      <w:rPr>
        <w:rFonts w:eastAsiaTheme="majorEastAsia"/>
        <w:b/>
        <w:color w:val="00826E"/>
      </w:rPr>
      <w:t xml:space="preserve"> </w:t>
    </w:r>
    <w:r w:rsidR="00D8084D" w:rsidRPr="00685E5E">
      <w:fldChar w:fldCharType="begin"/>
    </w:r>
    <w:r w:rsidR="00D8084D" w:rsidRPr="00685E5E">
      <w:instrText xml:space="preserve"> PAGE  \* Arabic  \* MERGEFORMAT </w:instrText>
    </w:r>
    <w:r w:rsidR="00D8084D" w:rsidRPr="00685E5E">
      <w:fldChar w:fldCharType="separate"/>
    </w:r>
    <w:r w:rsidR="00D8084D">
      <w:t>2</w:t>
    </w:r>
    <w:r w:rsidR="00D8084D" w:rsidRPr="00685E5E">
      <w:fldChar w:fldCharType="end"/>
    </w:r>
    <w:r w:rsidR="00D8084D" w:rsidRPr="00685E5E">
      <w:t xml:space="preserve"> of </w:t>
    </w:r>
    <w:fldSimple w:instr=" NUMPAGES  \* Arabic  \* MERGEFORMAT ">
      <w:r w:rsidR="00D8084D"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A22D" w14:textId="77777777" w:rsidR="00D07F7D" w:rsidRDefault="00D07F7D" w:rsidP="00A75C16">
    <w:pPr>
      <w:pStyle w:val="DEMTablebodycopy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6152D" w14:textId="77777777" w:rsidR="000A5826" w:rsidRDefault="000A5826" w:rsidP="005E1B4A">
      <w:pPr>
        <w:spacing w:after="0" w:line="240" w:lineRule="auto"/>
      </w:pPr>
      <w:r>
        <w:separator/>
      </w:r>
    </w:p>
  </w:footnote>
  <w:footnote w:type="continuationSeparator" w:id="0">
    <w:p w14:paraId="78AFFEA1" w14:textId="77777777" w:rsidR="000A5826" w:rsidRDefault="000A5826" w:rsidP="005E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409C" w14:textId="46373AF5" w:rsidR="002177A2" w:rsidRDefault="007C26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4FDDAC35" wp14:editId="35E35A9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05532B" w14:textId="4454522B" w:rsidR="007C2628" w:rsidRPr="007C2628" w:rsidRDefault="007C262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C262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DAC3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6848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0105532B" w14:textId="4454522B" w:rsidR="007C2628" w:rsidRPr="007C2628" w:rsidRDefault="007C262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C262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4BC28" w14:textId="16BF28B8" w:rsidR="00676031" w:rsidRPr="00676031" w:rsidRDefault="007C2628" w:rsidP="00297C27">
    <w:pPr>
      <w:tabs>
        <w:tab w:val="center" w:pos="5670"/>
      </w:tabs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3E89CF85" wp14:editId="63E93070">
              <wp:simplePos x="0" y="0"/>
              <wp:positionH relativeFrom="column">
                <wp:align>center</wp:align>
              </wp:positionH>
              <wp:positionV relativeFrom="paragraph">
                <wp:posOffset>1058</wp:posOffset>
              </wp:positionV>
              <wp:extent cx="443865" cy="443865"/>
              <wp:effectExtent l="0" t="0" r="12065" b="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95672" w14:textId="2E26338C" w:rsidR="007C2628" w:rsidRPr="007C2628" w:rsidRDefault="007C262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C262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9CF8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1pt;width:34.95pt;height:34.95pt;z-index:25166950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" filled="f" stroked="f">
              <v:textbox style="mso-fit-shape-to-text:t" inset="0,0,0,0">
                <w:txbxContent>
                  <w:p w14:paraId="52695672" w14:textId="2E26338C" w:rsidR="007C2628" w:rsidRPr="007C2628" w:rsidRDefault="007C262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C262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F0C44">
      <w:rPr>
        <w:noProof/>
      </w:rPr>
      <w:drawing>
        <wp:anchor distT="0" distB="0" distL="114300" distR="114300" simplePos="0" relativeHeight="251666432" behindDoc="1" locked="0" layoutInCell="1" allowOverlap="1" wp14:anchorId="4A26658D" wp14:editId="3E12B760">
          <wp:simplePos x="0" y="0"/>
          <wp:positionH relativeFrom="leftMargin">
            <wp:posOffset>0</wp:posOffset>
          </wp:positionH>
          <wp:positionV relativeFrom="paragraph">
            <wp:posOffset>-269875</wp:posOffset>
          </wp:positionV>
          <wp:extent cx="10677600" cy="1180800"/>
          <wp:effectExtent l="0" t="0" r="317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6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91EB" w14:textId="3E880936" w:rsidR="007C2628" w:rsidRDefault="007C262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3D63436" wp14:editId="45245D3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065" b="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444704" w14:textId="3F654DCD" w:rsidR="007C2628" w:rsidRPr="007C2628" w:rsidRDefault="007C2628">
                          <w:pPr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7C2628">
                            <w:rPr>
                              <w:rFonts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D634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6745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D444704" w14:textId="3F654DCD" w:rsidR="007C2628" w:rsidRPr="007C2628" w:rsidRDefault="007C2628">
                    <w:pPr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7C2628">
                      <w:rPr>
                        <w:rFonts w:eastAsia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9453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688E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E49D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DC40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1EE9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5CA3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B627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0E1F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2C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D2D5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A545F"/>
    <w:multiLevelType w:val="hybridMultilevel"/>
    <w:tmpl w:val="0EBA4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F06112"/>
    <w:multiLevelType w:val="multilevel"/>
    <w:tmpl w:val="AC023D5A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5837DCB"/>
    <w:multiLevelType w:val="hybridMultilevel"/>
    <w:tmpl w:val="BA7EFECC"/>
    <w:lvl w:ilvl="0" w:tplc="7C3208BA">
      <w:start w:val="1"/>
      <w:numFmt w:val="decimal"/>
      <w:lvlText w:val="%1.1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3C0299"/>
    <w:multiLevelType w:val="hybridMultilevel"/>
    <w:tmpl w:val="ADA05A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A55B7"/>
    <w:multiLevelType w:val="hybridMultilevel"/>
    <w:tmpl w:val="50C4CFE2"/>
    <w:lvl w:ilvl="0" w:tplc="1562B4D8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6" w:hanging="360"/>
      </w:pPr>
    </w:lvl>
    <w:lvl w:ilvl="2" w:tplc="0C09001B" w:tentative="1">
      <w:start w:val="1"/>
      <w:numFmt w:val="lowerRoman"/>
      <w:lvlText w:val="%3."/>
      <w:lvlJc w:val="right"/>
      <w:pPr>
        <w:ind w:left="2586" w:hanging="180"/>
      </w:pPr>
    </w:lvl>
    <w:lvl w:ilvl="3" w:tplc="0C09000F" w:tentative="1">
      <w:start w:val="1"/>
      <w:numFmt w:val="decimal"/>
      <w:lvlText w:val="%4."/>
      <w:lvlJc w:val="left"/>
      <w:pPr>
        <w:ind w:left="3306" w:hanging="360"/>
      </w:pPr>
    </w:lvl>
    <w:lvl w:ilvl="4" w:tplc="0C090019" w:tentative="1">
      <w:start w:val="1"/>
      <w:numFmt w:val="lowerLetter"/>
      <w:lvlText w:val="%5."/>
      <w:lvlJc w:val="left"/>
      <w:pPr>
        <w:ind w:left="4026" w:hanging="360"/>
      </w:pPr>
    </w:lvl>
    <w:lvl w:ilvl="5" w:tplc="0C09001B" w:tentative="1">
      <w:start w:val="1"/>
      <w:numFmt w:val="lowerRoman"/>
      <w:lvlText w:val="%6."/>
      <w:lvlJc w:val="right"/>
      <w:pPr>
        <w:ind w:left="4746" w:hanging="180"/>
      </w:pPr>
    </w:lvl>
    <w:lvl w:ilvl="6" w:tplc="0C09000F" w:tentative="1">
      <w:start w:val="1"/>
      <w:numFmt w:val="decimal"/>
      <w:lvlText w:val="%7."/>
      <w:lvlJc w:val="left"/>
      <w:pPr>
        <w:ind w:left="5466" w:hanging="360"/>
      </w:pPr>
    </w:lvl>
    <w:lvl w:ilvl="7" w:tplc="0C090019" w:tentative="1">
      <w:start w:val="1"/>
      <w:numFmt w:val="lowerLetter"/>
      <w:lvlText w:val="%8."/>
      <w:lvlJc w:val="left"/>
      <w:pPr>
        <w:ind w:left="6186" w:hanging="360"/>
      </w:pPr>
    </w:lvl>
    <w:lvl w:ilvl="8" w:tplc="0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E4B1669"/>
    <w:multiLevelType w:val="hybridMultilevel"/>
    <w:tmpl w:val="CCB6F1D2"/>
    <w:lvl w:ilvl="0" w:tplc="21EE0F26">
      <w:start w:val="1"/>
      <w:numFmt w:val="decimal"/>
      <w:lvlText w:val="%1.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2B73527"/>
    <w:multiLevelType w:val="multilevel"/>
    <w:tmpl w:val="16DEA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9592B54"/>
    <w:multiLevelType w:val="multilevel"/>
    <w:tmpl w:val="3C88C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1D94332"/>
    <w:multiLevelType w:val="multilevel"/>
    <w:tmpl w:val="AC023D5A"/>
    <w:styleLink w:val="CurrentList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76F72A2"/>
    <w:multiLevelType w:val="hybridMultilevel"/>
    <w:tmpl w:val="24D66940"/>
    <w:lvl w:ilvl="0" w:tplc="88CA1256">
      <w:start w:val="1"/>
      <w:numFmt w:val="decimal"/>
      <w:pStyle w:val="DEMnumberedlist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6407DC7"/>
    <w:multiLevelType w:val="hybridMultilevel"/>
    <w:tmpl w:val="3CC6F2FC"/>
    <w:lvl w:ilvl="0" w:tplc="7FDC9D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9554C"/>
    <w:multiLevelType w:val="hybridMultilevel"/>
    <w:tmpl w:val="0E869D42"/>
    <w:lvl w:ilvl="0" w:tplc="B87AD868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C7116"/>
    <w:multiLevelType w:val="hybridMultilevel"/>
    <w:tmpl w:val="498CE25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A12A8"/>
    <w:multiLevelType w:val="hybridMultilevel"/>
    <w:tmpl w:val="CB529016"/>
    <w:lvl w:ilvl="0" w:tplc="3ACABC88">
      <w:start w:val="1"/>
      <w:numFmt w:val="bullet"/>
      <w:pStyle w:val="DEM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50933"/>
    <w:multiLevelType w:val="multilevel"/>
    <w:tmpl w:val="AC023D5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CB86269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FA8377C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74228292">
    <w:abstractNumId w:val="13"/>
  </w:num>
  <w:num w:numId="2" w16cid:durableId="480855162">
    <w:abstractNumId w:val="23"/>
  </w:num>
  <w:num w:numId="3" w16cid:durableId="868564579">
    <w:abstractNumId w:val="22"/>
  </w:num>
  <w:num w:numId="4" w16cid:durableId="372122584">
    <w:abstractNumId w:val="21"/>
  </w:num>
  <w:num w:numId="5" w16cid:durableId="1689672536">
    <w:abstractNumId w:val="12"/>
  </w:num>
  <w:num w:numId="6" w16cid:durableId="810944369">
    <w:abstractNumId w:val="14"/>
  </w:num>
  <w:num w:numId="7" w16cid:durableId="725296118">
    <w:abstractNumId w:val="15"/>
  </w:num>
  <w:num w:numId="8" w16cid:durableId="1377729876">
    <w:abstractNumId w:val="19"/>
  </w:num>
  <w:num w:numId="9" w16cid:durableId="81026863">
    <w:abstractNumId w:val="20"/>
  </w:num>
  <w:num w:numId="10" w16cid:durableId="292446236">
    <w:abstractNumId w:val="16"/>
  </w:num>
  <w:num w:numId="11" w16cid:durableId="342630437">
    <w:abstractNumId w:val="17"/>
  </w:num>
  <w:num w:numId="12" w16cid:durableId="875125078">
    <w:abstractNumId w:val="24"/>
  </w:num>
  <w:num w:numId="13" w16cid:durableId="1052273056">
    <w:abstractNumId w:val="26"/>
  </w:num>
  <w:num w:numId="14" w16cid:durableId="985625303">
    <w:abstractNumId w:val="11"/>
  </w:num>
  <w:num w:numId="15" w16cid:durableId="937568031">
    <w:abstractNumId w:val="18"/>
  </w:num>
  <w:num w:numId="16" w16cid:durableId="806165680">
    <w:abstractNumId w:val="25"/>
  </w:num>
  <w:num w:numId="17" w16cid:durableId="998076563">
    <w:abstractNumId w:val="0"/>
  </w:num>
  <w:num w:numId="18" w16cid:durableId="1634678278">
    <w:abstractNumId w:val="1"/>
  </w:num>
  <w:num w:numId="19" w16cid:durableId="100540787">
    <w:abstractNumId w:val="2"/>
  </w:num>
  <w:num w:numId="20" w16cid:durableId="1755125960">
    <w:abstractNumId w:val="3"/>
  </w:num>
  <w:num w:numId="21" w16cid:durableId="1406955571">
    <w:abstractNumId w:val="8"/>
  </w:num>
  <w:num w:numId="22" w16cid:durableId="1223559729">
    <w:abstractNumId w:val="4"/>
  </w:num>
  <w:num w:numId="23" w16cid:durableId="1155533004">
    <w:abstractNumId w:val="5"/>
  </w:num>
  <w:num w:numId="24" w16cid:durableId="1484085626">
    <w:abstractNumId w:val="6"/>
  </w:num>
  <w:num w:numId="25" w16cid:durableId="1379545443">
    <w:abstractNumId w:val="7"/>
  </w:num>
  <w:num w:numId="26" w16cid:durableId="1553421842">
    <w:abstractNumId w:val="9"/>
  </w:num>
  <w:num w:numId="27" w16cid:durableId="22024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28"/>
    <w:rsid w:val="00026AE1"/>
    <w:rsid w:val="000418E6"/>
    <w:rsid w:val="000421F5"/>
    <w:rsid w:val="000774DC"/>
    <w:rsid w:val="000A5826"/>
    <w:rsid w:val="000D0100"/>
    <w:rsid w:val="000F5A74"/>
    <w:rsid w:val="00107964"/>
    <w:rsid w:val="001102BC"/>
    <w:rsid w:val="00146D89"/>
    <w:rsid w:val="001516EB"/>
    <w:rsid w:val="00157498"/>
    <w:rsid w:val="00165355"/>
    <w:rsid w:val="001720F8"/>
    <w:rsid w:val="001803C0"/>
    <w:rsid w:val="00185410"/>
    <w:rsid w:val="001B30CB"/>
    <w:rsid w:val="00207094"/>
    <w:rsid w:val="002177A2"/>
    <w:rsid w:val="00227B56"/>
    <w:rsid w:val="00237945"/>
    <w:rsid w:val="00242321"/>
    <w:rsid w:val="00242A51"/>
    <w:rsid w:val="00261540"/>
    <w:rsid w:val="00272ABA"/>
    <w:rsid w:val="00293D21"/>
    <w:rsid w:val="00296C59"/>
    <w:rsid w:val="00297C27"/>
    <w:rsid w:val="002A5969"/>
    <w:rsid w:val="0031575B"/>
    <w:rsid w:val="00347B54"/>
    <w:rsid w:val="00360D63"/>
    <w:rsid w:val="00372B24"/>
    <w:rsid w:val="003819CB"/>
    <w:rsid w:val="00385186"/>
    <w:rsid w:val="00391F3B"/>
    <w:rsid w:val="003A4D6D"/>
    <w:rsid w:val="003B57EC"/>
    <w:rsid w:val="00407950"/>
    <w:rsid w:val="00411352"/>
    <w:rsid w:val="00412887"/>
    <w:rsid w:val="00436A7C"/>
    <w:rsid w:val="00453F1A"/>
    <w:rsid w:val="00486D0E"/>
    <w:rsid w:val="004A6334"/>
    <w:rsid w:val="004D071D"/>
    <w:rsid w:val="004D49C3"/>
    <w:rsid w:val="004D786D"/>
    <w:rsid w:val="00512BFA"/>
    <w:rsid w:val="00537F56"/>
    <w:rsid w:val="00576226"/>
    <w:rsid w:val="00580CBB"/>
    <w:rsid w:val="005942DA"/>
    <w:rsid w:val="005A6606"/>
    <w:rsid w:val="005E1B4A"/>
    <w:rsid w:val="006073D8"/>
    <w:rsid w:val="00612DD5"/>
    <w:rsid w:val="00627FE9"/>
    <w:rsid w:val="00653BAE"/>
    <w:rsid w:val="00676031"/>
    <w:rsid w:val="00676202"/>
    <w:rsid w:val="006A4FF4"/>
    <w:rsid w:val="006C3D95"/>
    <w:rsid w:val="006E657A"/>
    <w:rsid w:val="00732674"/>
    <w:rsid w:val="00733BE1"/>
    <w:rsid w:val="007453D6"/>
    <w:rsid w:val="00755A17"/>
    <w:rsid w:val="00762DF6"/>
    <w:rsid w:val="007A248D"/>
    <w:rsid w:val="007C2628"/>
    <w:rsid w:val="007F1E7B"/>
    <w:rsid w:val="00803713"/>
    <w:rsid w:val="00825698"/>
    <w:rsid w:val="00830891"/>
    <w:rsid w:val="00842D46"/>
    <w:rsid w:val="00844331"/>
    <w:rsid w:val="008675FC"/>
    <w:rsid w:val="008B40FC"/>
    <w:rsid w:val="008C5996"/>
    <w:rsid w:val="008D2093"/>
    <w:rsid w:val="008F7924"/>
    <w:rsid w:val="00907B68"/>
    <w:rsid w:val="0092212B"/>
    <w:rsid w:val="00931F5D"/>
    <w:rsid w:val="00941312"/>
    <w:rsid w:val="009A1098"/>
    <w:rsid w:val="009A4E6B"/>
    <w:rsid w:val="009B286E"/>
    <w:rsid w:val="009D0549"/>
    <w:rsid w:val="009D4EAF"/>
    <w:rsid w:val="00A033EB"/>
    <w:rsid w:val="00A1292B"/>
    <w:rsid w:val="00A62CF8"/>
    <w:rsid w:val="00A636DC"/>
    <w:rsid w:val="00A75C16"/>
    <w:rsid w:val="00A85E3C"/>
    <w:rsid w:val="00A86236"/>
    <w:rsid w:val="00AC0D4D"/>
    <w:rsid w:val="00AE540C"/>
    <w:rsid w:val="00AF1C51"/>
    <w:rsid w:val="00AF58E0"/>
    <w:rsid w:val="00B162BB"/>
    <w:rsid w:val="00B33242"/>
    <w:rsid w:val="00B42A10"/>
    <w:rsid w:val="00B6673A"/>
    <w:rsid w:val="00B84092"/>
    <w:rsid w:val="00B9703C"/>
    <w:rsid w:val="00BA0444"/>
    <w:rsid w:val="00BA7AD3"/>
    <w:rsid w:val="00BF0C44"/>
    <w:rsid w:val="00BF20C5"/>
    <w:rsid w:val="00BF3785"/>
    <w:rsid w:val="00C16811"/>
    <w:rsid w:val="00C370B9"/>
    <w:rsid w:val="00C44DAD"/>
    <w:rsid w:val="00CA106F"/>
    <w:rsid w:val="00CA5529"/>
    <w:rsid w:val="00CB1E29"/>
    <w:rsid w:val="00CB1F34"/>
    <w:rsid w:val="00CC04CB"/>
    <w:rsid w:val="00CD457D"/>
    <w:rsid w:val="00CE3D08"/>
    <w:rsid w:val="00D07F7D"/>
    <w:rsid w:val="00D36006"/>
    <w:rsid w:val="00D44F2D"/>
    <w:rsid w:val="00D51F54"/>
    <w:rsid w:val="00D55C21"/>
    <w:rsid w:val="00D71272"/>
    <w:rsid w:val="00D775E2"/>
    <w:rsid w:val="00D8084D"/>
    <w:rsid w:val="00D8339C"/>
    <w:rsid w:val="00D83870"/>
    <w:rsid w:val="00DB4B65"/>
    <w:rsid w:val="00E158A8"/>
    <w:rsid w:val="00E2146C"/>
    <w:rsid w:val="00E24D6C"/>
    <w:rsid w:val="00E51EF1"/>
    <w:rsid w:val="00E6608E"/>
    <w:rsid w:val="00E7136C"/>
    <w:rsid w:val="00E941AC"/>
    <w:rsid w:val="00E94E95"/>
    <w:rsid w:val="00E97284"/>
    <w:rsid w:val="00EA1E7B"/>
    <w:rsid w:val="00F13471"/>
    <w:rsid w:val="00F6110E"/>
    <w:rsid w:val="00F621F6"/>
    <w:rsid w:val="00F66668"/>
    <w:rsid w:val="00F67223"/>
    <w:rsid w:val="00F81312"/>
    <w:rsid w:val="00F90A8F"/>
    <w:rsid w:val="00F91B12"/>
    <w:rsid w:val="00FA1C9A"/>
    <w:rsid w:val="00FC0C33"/>
    <w:rsid w:val="00FC24B3"/>
    <w:rsid w:val="00FC370A"/>
    <w:rsid w:val="00FC66CF"/>
    <w:rsid w:val="00FD08D8"/>
    <w:rsid w:val="00FD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03A1C"/>
  <w15:chartTrackingRefBased/>
  <w15:docId w15:val="{6C0384BA-00E5-2041-910F-B7ADE153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Bold" w:eastAsiaTheme="minorHAnsi" w:hAnsi="Arial Bold" w:cstheme="minorBidi"/>
        <w:color w:val="FFFFFF" w:themeColor="background1"/>
        <w:sz w:val="22"/>
        <w:szCs w:val="22"/>
        <w:lang w:val="en-AU" w:eastAsia="en-US" w:bidi="ar-SA"/>
      </w:rPr>
    </w:rPrDefault>
    <w:pPrDefault>
      <w:pPr>
        <w:spacing w:after="3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E7B"/>
    <w:pPr>
      <w:spacing w:before="160" w:after="200"/>
    </w:pPr>
    <w:rPr>
      <w:rFonts w:ascii="Arial" w:hAnsi="Arial"/>
    </w:rPr>
  </w:style>
  <w:style w:type="paragraph" w:styleId="Heading1">
    <w:name w:val="heading 1"/>
    <w:aliases w:val="Heading 1 NUMBERED"/>
    <w:basedOn w:val="Normal"/>
    <w:next w:val="Normal"/>
    <w:link w:val="Heading1Char"/>
    <w:autoRedefine/>
    <w:uiPriority w:val="9"/>
    <w:qFormat/>
    <w:rsid w:val="00AF1C51"/>
    <w:pPr>
      <w:keepNext/>
      <w:keepLines/>
      <w:numPr>
        <w:numId w:val="12"/>
      </w:numPr>
      <w:spacing w:before="520"/>
      <w:outlineLvl w:val="0"/>
    </w:pPr>
    <w:rPr>
      <w:rFonts w:eastAsiaTheme="majorEastAsia" w:cstheme="majorBidi"/>
      <w:b/>
      <w:color w:val="00826E" w:themeColor="accent1"/>
      <w:sz w:val="30"/>
      <w:szCs w:val="32"/>
    </w:rPr>
  </w:style>
  <w:style w:type="paragraph" w:styleId="Heading2">
    <w:name w:val="heading 2"/>
    <w:aliases w:val="Heading 2 NUMBERED"/>
    <w:basedOn w:val="Normal"/>
    <w:next w:val="Normal"/>
    <w:link w:val="Heading2Char"/>
    <w:autoRedefine/>
    <w:uiPriority w:val="9"/>
    <w:unhideWhenUsed/>
    <w:qFormat/>
    <w:rsid w:val="00AF1C51"/>
    <w:pPr>
      <w:keepNext/>
      <w:keepLines/>
      <w:numPr>
        <w:ilvl w:val="1"/>
        <w:numId w:val="12"/>
      </w:numPr>
      <w:spacing w:before="480" w:after="120"/>
      <w:outlineLvl w:val="1"/>
    </w:pPr>
    <w:rPr>
      <w:rFonts w:eastAsiaTheme="majorEastAsia" w:cstheme="majorBidi"/>
      <w:b/>
      <w:color w:val="00826E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C51"/>
    <w:pPr>
      <w:keepNext/>
      <w:keepLines/>
      <w:numPr>
        <w:ilvl w:val="2"/>
        <w:numId w:val="12"/>
      </w:numPr>
      <w:spacing w:before="40" w:after="0"/>
      <w:outlineLvl w:val="2"/>
    </w:pPr>
    <w:rPr>
      <w:rFonts w:eastAsiaTheme="majorEastAsia" w:cstheme="majorBidi"/>
      <w:color w:val="00826E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C51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15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C51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0061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C51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0040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C51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0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C51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C51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10E"/>
  </w:style>
  <w:style w:type="paragraph" w:customStyle="1" w:styleId="DEMBodyCopy">
    <w:name w:val="DEM Body Copy"/>
    <w:link w:val="DEMBodyCopyChar"/>
    <w:autoRedefine/>
    <w:qFormat/>
    <w:rsid w:val="00CB1F34"/>
    <w:pPr>
      <w:spacing w:before="160" w:after="120"/>
      <w:ind w:left="378"/>
    </w:pPr>
    <w:rPr>
      <w:rFonts w:ascii="Arial" w:hAnsi="Arial"/>
      <w:color w:val="000000" w:themeColor="text1"/>
    </w:rPr>
  </w:style>
  <w:style w:type="paragraph" w:customStyle="1" w:styleId="DEMPageTitle">
    <w:name w:val="DEM Page Title"/>
    <w:link w:val="DEMPageTitleChar"/>
    <w:qFormat/>
    <w:rsid w:val="00F67223"/>
    <w:pPr>
      <w:spacing w:before="480" w:after="320"/>
    </w:pPr>
    <w:rPr>
      <w:rFonts w:ascii="Arial" w:hAnsi="Arial"/>
      <w:b/>
      <w:color w:val="00826E"/>
      <w:sz w:val="36"/>
    </w:rPr>
  </w:style>
  <w:style w:type="character" w:customStyle="1" w:styleId="DEMBodyCopyChar">
    <w:name w:val="DEM Body Copy Char"/>
    <w:basedOn w:val="DefaultParagraphFont"/>
    <w:link w:val="DEMBodyCopy"/>
    <w:rsid w:val="00CB1F34"/>
    <w:rPr>
      <w:rFonts w:ascii="Arial" w:hAnsi="Arial"/>
      <w:color w:val="000000" w:themeColor="text1"/>
    </w:rPr>
  </w:style>
  <w:style w:type="table" w:styleId="TableGrid">
    <w:name w:val="Table Grid"/>
    <w:basedOn w:val="TableNormal"/>
    <w:uiPriority w:val="39"/>
    <w:rsid w:val="00762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MPageTitleChar">
    <w:name w:val="DEM Page Title Char"/>
    <w:basedOn w:val="DefaultParagraphFont"/>
    <w:link w:val="DEMPageTitle"/>
    <w:rsid w:val="00F67223"/>
    <w:rPr>
      <w:rFonts w:ascii="Arial" w:hAnsi="Arial"/>
      <w:b/>
      <w:color w:val="00826E"/>
      <w:sz w:val="36"/>
    </w:rPr>
  </w:style>
  <w:style w:type="paragraph" w:customStyle="1" w:styleId="DEMTablebodycopy">
    <w:name w:val="DEM Table body copy"/>
    <w:qFormat/>
    <w:rsid w:val="00F91B12"/>
    <w:pPr>
      <w:spacing w:line="320" w:lineRule="atLeast"/>
    </w:pPr>
    <w:rPr>
      <w:rFonts w:ascii="Arial" w:hAnsi="Arial"/>
      <w:bCs/>
      <w:color w:val="auto"/>
      <w:sz w:val="21"/>
      <w:szCs w:val="20"/>
    </w:rPr>
  </w:style>
  <w:style w:type="paragraph" w:customStyle="1" w:styleId="DEMTableheadercopy">
    <w:name w:val="DEM Table header copy"/>
    <w:qFormat/>
    <w:rsid w:val="00F91B12"/>
    <w:pPr>
      <w:spacing w:after="0"/>
    </w:pPr>
    <w:rPr>
      <w:rFonts w:ascii="Arial" w:hAnsi="Arial"/>
      <w:b/>
      <w:bCs/>
      <w:color w:val="auto"/>
      <w:sz w:val="21"/>
      <w:szCs w:val="20"/>
    </w:rPr>
  </w:style>
  <w:style w:type="paragraph" w:customStyle="1" w:styleId="DEMHeading1">
    <w:name w:val="DEM Heading 1"/>
    <w:basedOn w:val="Heading1"/>
    <w:next w:val="DEMBodyCopy"/>
    <w:autoRedefine/>
    <w:qFormat/>
    <w:rsid w:val="00D775E2"/>
    <w:pPr>
      <w:numPr>
        <w:numId w:val="0"/>
      </w:numPr>
    </w:pPr>
    <w:rPr>
      <w:bCs/>
      <w:color w:val="00826E"/>
      <w:szCs w:val="26"/>
    </w:rPr>
  </w:style>
  <w:style w:type="paragraph" w:customStyle="1" w:styleId="DEMTableheading">
    <w:name w:val="DEM Table heading"/>
    <w:qFormat/>
    <w:rsid w:val="00627FE9"/>
    <w:pPr>
      <w:spacing w:before="360" w:after="120"/>
    </w:pPr>
    <w:rPr>
      <w:rFonts w:ascii="Arial" w:hAnsi="Arial"/>
      <w:color w:val="00826E"/>
      <w:sz w:val="20"/>
    </w:rPr>
  </w:style>
  <w:style w:type="paragraph" w:customStyle="1" w:styleId="DEMBullets">
    <w:name w:val="DEM Bullets"/>
    <w:qFormat/>
    <w:rsid w:val="00391F3B"/>
    <w:pPr>
      <w:numPr>
        <w:numId w:val="2"/>
      </w:numPr>
      <w:spacing w:after="60" w:line="280" w:lineRule="atLeast"/>
      <w:ind w:left="714" w:hanging="357"/>
    </w:pPr>
    <w:rPr>
      <w:rFonts w:ascii="Arial" w:hAnsi="Arial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F61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10E"/>
  </w:style>
  <w:style w:type="character" w:styleId="PlaceholderText">
    <w:name w:val="Placeholder Text"/>
    <w:basedOn w:val="DefaultParagraphFont"/>
    <w:uiPriority w:val="99"/>
    <w:semiHidden/>
    <w:rsid w:val="001B30CB"/>
    <w:rPr>
      <w:color w:val="808080"/>
    </w:rPr>
  </w:style>
  <w:style w:type="table" w:styleId="GridTable1Light">
    <w:name w:val="Grid Table 1 Light"/>
    <w:basedOn w:val="TableNormal"/>
    <w:uiPriority w:val="46"/>
    <w:rsid w:val="00B6673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MSubtitle-Titlepageonly">
    <w:name w:val="DEM Subtitle - Title page only"/>
    <w:basedOn w:val="Normal"/>
    <w:qFormat/>
    <w:rsid w:val="00A85E3C"/>
    <w:pPr>
      <w:spacing w:before="240" w:after="120" w:line="360" w:lineRule="atLeast"/>
    </w:pPr>
    <w:rPr>
      <w:sz w:val="44"/>
      <w:szCs w:val="44"/>
    </w:rPr>
  </w:style>
  <w:style w:type="paragraph" w:customStyle="1" w:styleId="DEMHeading2">
    <w:name w:val="DEM Heading 2"/>
    <w:basedOn w:val="Heading2"/>
    <w:next w:val="DEMBodyCopy"/>
    <w:qFormat/>
    <w:rsid w:val="00D775E2"/>
    <w:pPr>
      <w:numPr>
        <w:ilvl w:val="0"/>
        <w:numId w:val="0"/>
      </w:numPr>
    </w:pPr>
    <w:rPr>
      <w:sz w:val="26"/>
    </w:rPr>
  </w:style>
  <w:style w:type="paragraph" w:customStyle="1" w:styleId="DEMheading3">
    <w:name w:val="DEM heading 3"/>
    <w:basedOn w:val="Heading3"/>
    <w:next w:val="DEMBodyCopy"/>
    <w:qFormat/>
    <w:rsid w:val="00D775E2"/>
    <w:pPr>
      <w:numPr>
        <w:ilvl w:val="0"/>
        <w:numId w:val="0"/>
      </w:numPr>
      <w:spacing w:before="360"/>
    </w:pPr>
    <w:rPr>
      <w:b/>
      <w:color w:val="000000" w:themeColor="text1"/>
      <w:sz w:val="22"/>
      <w:szCs w:val="22"/>
    </w:rPr>
  </w:style>
  <w:style w:type="paragraph" w:customStyle="1" w:styleId="DEMnumberedlist">
    <w:name w:val="DEM numbered list"/>
    <w:basedOn w:val="DEMBullets"/>
    <w:qFormat/>
    <w:rsid w:val="005942DA"/>
    <w:pPr>
      <w:numPr>
        <w:numId w:val="8"/>
      </w:numPr>
      <w:ind w:left="714" w:hanging="357"/>
    </w:pPr>
  </w:style>
  <w:style w:type="paragraph" w:customStyle="1" w:styleId="DocumentTitle-Pageheader">
    <w:name w:val="Document Title - Page header"/>
    <w:basedOn w:val="Normal"/>
    <w:qFormat/>
    <w:rsid w:val="00486D0E"/>
    <w:pPr>
      <w:tabs>
        <w:tab w:val="center" w:pos="5387"/>
      </w:tabs>
      <w:spacing w:before="240" w:after="140"/>
    </w:pPr>
    <w:rPr>
      <w:rFonts w:cs="Arial"/>
      <w:bCs/>
      <w:noProof/>
      <w:color w:val="00826E" w:themeColor="accent1"/>
      <w:sz w:val="20"/>
      <w:szCs w:val="20"/>
    </w:rPr>
  </w:style>
  <w:style w:type="character" w:customStyle="1" w:styleId="Heading1Char">
    <w:name w:val="Heading 1 Char"/>
    <w:aliases w:val="Heading 1 NUMBERED Char"/>
    <w:basedOn w:val="DefaultParagraphFont"/>
    <w:link w:val="Heading1"/>
    <w:uiPriority w:val="9"/>
    <w:rsid w:val="00AF1C51"/>
    <w:rPr>
      <w:rFonts w:ascii="Arial" w:eastAsiaTheme="majorEastAsia" w:hAnsi="Arial" w:cstheme="majorBidi"/>
      <w:b/>
      <w:color w:val="00826E" w:themeColor="accent1"/>
      <w:sz w:val="30"/>
      <w:szCs w:val="32"/>
    </w:rPr>
  </w:style>
  <w:style w:type="character" w:customStyle="1" w:styleId="Heading2Char">
    <w:name w:val="Heading 2 Char"/>
    <w:aliases w:val="Heading 2 NUMBERED Char"/>
    <w:basedOn w:val="DefaultParagraphFont"/>
    <w:link w:val="Heading2"/>
    <w:uiPriority w:val="9"/>
    <w:rsid w:val="008F7924"/>
    <w:rPr>
      <w:rFonts w:ascii="Arial" w:eastAsiaTheme="majorEastAsia" w:hAnsi="Arial" w:cstheme="majorBidi"/>
      <w:b/>
      <w:color w:val="00826E" w:themeColor="accent1"/>
      <w:sz w:val="28"/>
      <w:szCs w:val="26"/>
    </w:rPr>
  </w:style>
  <w:style w:type="paragraph" w:customStyle="1" w:styleId="DEMFooterGreen">
    <w:name w:val="DEM Footer Green"/>
    <w:basedOn w:val="Normal"/>
    <w:qFormat/>
    <w:rsid w:val="00CD457D"/>
    <w:pPr>
      <w:tabs>
        <w:tab w:val="right" w:pos="4513"/>
        <w:tab w:val="right" w:pos="9561"/>
      </w:tabs>
      <w:spacing w:after="0" w:line="240" w:lineRule="auto"/>
    </w:pPr>
    <w:rPr>
      <w:rFonts w:cs="Arial"/>
      <w:bCs/>
      <w:noProof/>
      <w:color w:val="09816D"/>
      <w:sz w:val="16"/>
      <w:szCs w:val="16"/>
    </w:rPr>
  </w:style>
  <w:style w:type="numbering" w:customStyle="1" w:styleId="CurrentList1">
    <w:name w:val="Current List1"/>
    <w:uiPriority w:val="99"/>
    <w:rsid w:val="00AF1C51"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F1C51"/>
    <w:rPr>
      <w:rFonts w:ascii="Arial" w:eastAsiaTheme="majorEastAsia" w:hAnsi="Arial" w:cstheme="majorBidi"/>
      <w:color w:val="00826E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C51"/>
    <w:rPr>
      <w:rFonts w:asciiTheme="majorHAnsi" w:eastAsiaTheme="majorEastAsia" w:hAnsiTheme="majorHAnsi" w:cstheme="majorBidi"/>
      <w:i/>
      <w:iCs/>
      <w:color w:val="00615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C51"/>
    <w:rPr>
      <w:rFonts w:asciiTheme="majorHAnsi" w:eastAsiaTheme="majorEastAsia" w:hAnsiTheme="majorHAnsi" w:cstheme="majorBidi"/>
      <w:color w:val="0061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C51"/>
    <w:rPr>
      <w:rFonts w:asciiTheme="majorHAnsi" w:eastAsiaTheme="majorEastAsia" w:hAnsiTheme="majorHAnsi" w:cstheme="majorBidi"/>
      <w:color w:val="0040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C51"/>
    <w:rPr>
      <w:rFonts w:asciiTheme="majorHAnsi" w:eastAsiaTheme="majorEastAsia" w:hAnsiTheme="majorHAnsi" w:cstheme="majorBidi"/>
      <w:i/>
      <w:iCs/>
      <w:color w:val="0040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C5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C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CurrentList2">
    <w:name w:val="Current List2"/>
    <w:uiPriority w:val="99"/>
    <w:rsid w:val="00D775E2"/>
    <w:pPr>
      <w:numPr>
        <w:numId w:val="14"/>
      </w:numPr>
    </w:pPr>
  </w:style>
  <w:style w:type="numbering" w:customStyle="1" w:styleId="CurrentList3">
    <w:name w:val="Current List3"/>
    <w:uiPriority w:val="99"/>
    <w:rsid w:val="00D775E2"/>
    <w:pPr>
      <w:numPr>
        <w:numId w:val="15"/>
      </w:numPr>
    </w:pPr>
  </w:style>
  <w:style w:type="numbering" w:customStyle="1" w:styleId="CurrentList4">
    <w:name w:val="Current List4"/>
    <w:uiPriority w:val="99"/>
    <w:rsid w:val="00D775E2"/>
    <w:pPr>
      <w:numPr>
        <w:numId w:val="16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DAD"/>
    <w:pPr>
      <w:spacing w:before="0" w:after="0" w:line="240" w:lineRule="auto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AD"/>
    <w:rPr>
      <w:rFonts w:ascii="Times New Roman" w:hAnsi="Times New Roman" w:cs="Times New Roman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gov.sharepoint.com/teams/DEM_int_CET_Comms/Shared%20Documents/Design/FINAL%20DEM%20BRANDED%20TEMPLATES/DOCx%20templates%20for%20intranet/No-Cover%20Document%20Templates/DEM%20Green%20Document.dotx" TargetMode="External"/></Relationships>
</file>

<file path=word/theme/theme1.xml><?xml version="1.0" encoding="utf-8"?>
<a:theme xmlns:a="http://schemas.openxmlformats.org/drawingml/2006/main" name="Office Theme">
  <a:themeElements>
    <a:clrScheme name="DEM Dark Gree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26E"/>
      </a:accent1>
      <a:accent2>
        <a:srgbClr val="95D2C8"/>
      </a:accent2>
      <a:accent3>
        <a:srgbClr val="A5A5A5"/>
      </a:accent3>
      <a:accent4>
        <a:srgbClr val="E7E6E6"/>
      </a:accent4>
      <a:accent5>
        <a:srgbClr val="5B9BD5"/>
      </a:accent5>
      <a:accent6>
        <a:srgbClr val="BFE3D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749C84F7CD24ABD4EFD71B8F8849D" ma:contentTypeVersion="14" ma:contentTypeDescription="Create a new document." ma:contentTypeScope="" ma:versionID="0892d8b8f3cda40c7993526cc6c2ccbc">
  <xsd:schema xmlns:xsd="http://www.w3.org/2001/XMLSchema" xmlns:xs="http://www.w3.org/2001/XMLSchema" xmlns:p="http://schemas.microsoft.com/office/2006/metadata/properties" xmlns:ns1="http://schemas.microsoft.com/sharepoint/v3" xmlns:ns2="2ad4ac95-6a41-4ce8-97ee-4b2c94af493a" xmlns:ns3="21566076-0606-4024-89c6-48ee27e703c5" targetNamespace="http://schemas.microsoft.com/office/2006/metadata/properties" ma:root="true" ma:fieldsID="3e2c59f0c57202f11286296a1d893026" ns1:_="" ns2:_="" ns3:_="">
    <xsd:import namespace="http://schemas.microsoft.com/sharepoint/v3"/>
    <xsd:import namespace="2ad4ac95-6a41-4ce8-97ee-4b2c94af493a"/>
    <xsd:import namespace="21566076-0606-4024-89c6-48ee27e703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PublishingStartDate" minOccurs="0"/>
                <xsd:element ref="ns1:PublishingExpiration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4ac95-6a41-4ce8-97ee-4b2c94af49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6076-0606-4024-89c6-48ee27e703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ED9AFC-D291-4EEA-A948-B0E693035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d4ac95-6a41-4ce8-97ee-4b2c94af493a"/>
    <ds:schemaRef ds:uri="21566076-0606-4024-89c6-48ee27e703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33726-45BB-4AB0-8948-634ECA5705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83518E3-18E5-4417-BDE0-163F11925D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CF212-357D-48BA-A6E0-B5160FB5E8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DEM%20Green%20Document.dotx</Template>
  <TotalTime>18</TotalTime>
  <Pages>1</Pages>
  <Words>167</Words>
  <Characters>1056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Varghese, Rob (DPC)</dc:creator>
  <cp:keywords/>
  <dc:description/>
  <cp:lastModifiedBy>Froud, Rachel (DEM)</cp:lastModifiedBy>
  <cp:revision>4</cp:revision>
  <cp:lastPrinted>2021-09-07T04:32:00Z</cp:lastPrinted>
  <dcterms:created xsi:type="dcterms:W3CDTF">2022-05-26T23:35:00Z</dcterms:created>
  <dcterms:modified xsi:type="dcterms:W3CDTF">2025-11-10T00:51:00Z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9f,a1,1,3,4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ontentTypeId">
    <vt:lpwstr>0x0101007FA749C84F7CD24ABD4EFD71B8F8849D</vt:lpwstr>
  </property>
  <property fmtid="{D5CDD505-2E9C-101B-9397-08002B2CF9AE}" pid="6" name="MSIP_Label_77274858-3b1d-4431-8679-d878f40e28fd_Enabled">
    <vt:lpwstr>true</vt:lpwstr>
  </property>
  <property fmtid="{D5CDD505-2E9C-101B-9397-08002B2CF9AE}" pid="7" name="MSIP_Label_77274858-3b1d-4431-8679-d878f40e28fd_SetDate">
    <vt:lpwstr>2022-05-26T23:41:15Z</vt:lpwstr>
  </property>
  <property fmtid="{D5CDD505-2E9C-101B-9397-08002B2CF9AE}" pid="8" name="MSIP_Label_77274858-3b1d-4431-8679-d878f40e28fd_Method">
    <vt:lpwstr>Privileged</vt:lpwstr>
  </property>
  <property fmtid="{D5CDD505-2E9C-101B-9397-08002B2CF9AE}" pid="9" name="MSIP_Label_77274858-3b1d-4431-8679-d878f40e28fd_Name">
    <vt:lpwstr>-Official</vt:lpwstr>
  </property>
  <property fmtid="{D5CDD505-2E9C-101B-9397-08002B2CF9AE}" pid="10" name="MSIP_Label_77274858-3b1d-4431-8679-d878f40e28fd_SiteId">
    <vt:lpwstr>bda528f7-fca9-432f-bc98-bd7e90d40906</vt:lpwstr>
  </property>
  <property fmtid="{D5CDD505-2E9C-101B-9397-08002B2CF9AE}" pid="11" name="MSIP_Label_77274858-3b1d-4431-8679-d878f40e28fd_ActionId">
    <vt:lpwstr>12efb7ac-0ac9-4963-a1b1-bd29469fcc1e</vt:lpwstr>
  </property>
  <property fmtid="{D5CDD505-2E9C-101B-9397-08002B2CF9AE}" pid="12" name="MSIP_Label_77274858-3b1d-4431-8679-d878f40e28fd_ContentBits">
    <vt:lpwstr>1</vt:lpwstr>
  </property>
</Properties>
</file>